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91F0" w14:textId="4CC3582D" w:rsidR="00FF478C" w:rsidRPr="00331F18" w:rsidRDefault="00FF478C" w:rsidP="00FF478C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31F18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31F18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461BC37E" w14:textId="77777777" w:rsidR="00FF478C" w:rsidRDefault="00FF478C" w:rsidP="00600CC1">
      <w:pPr>
        <w:jc w:val="center"/>
        <w:rPr>
          <w:rFonts w:cstheme="minorHAnsi"/>
          <w:b/>
          <w:bCs/>
        </w:rPr>
      </w:pPr>
    </w:p>
    <w:p w14:paraId="743621D3" w14:textId="5223E52D" w:rsidR="00D42C33" w:rsidRPr="00FB3583" w:rsidRDefault="00D42C33" w:rsidP="00600CC1">
      <w:pPr>
        <w:jc w:val="center"/>
        <w:rPr>
          <w:rFonts w:cstheme="minorHAnsi"/>
          <w:b/>
          <w:bCs/>
        </w:rPr>
      </w:pPr>
      <w:r w:rsidRPr="00FB3583">
        <w:rPr>
          <w:rFonts w:cstheme="minorHAnsi"/>
          <w:b/>
          <w:bCs/>
        </w:rPr>
        <w:t>OPIS PRZEDMIOTU ZAMÓWIENIA</w:t>
      </w:r>
    </w:p>
    <w:p w14:paraId="5BBC8BF8" w14:textId="77777777" w:rsidR="00600CC1" w:rsidRPr="00FB3583" w:rsidRDefault="00600CC1" w:rsidP="00600CC1">
      <w:pPr>
        <w:jc w:val="center"/>
        <w:rPr>
          <w:rFonts w:cstheme="minorHAnsi"/>
          <w:b/>
          <w:bCs/>
        </w:rPr>
      </w:pPr>
    </w:p>
    <w:p w14:paraId="60783BAA" w14:textId="2A6FAFC9" w:rsidR="006D11F8" w:rsidRPr="00FB3583" w:rsidRDefault="006D11F8" w:rsidP="006938AB">
      <w:pPr>
        <w:jc w:val="both"/>
        <w:rPr>
          <w:rFonts w:cstheme="minorHAnsi"/>
        </w:rPr>
      </w:pPr>
      <w:r w:rsidRPr="00FB3583">
        <w:rPr>
          <w:rFonts w:cstheme="minorHAnsi"/>
        </w:rPr>
        <w:t>Wykonanie oświetlenie przejścia dla pieszych wraz z montażem oznakowania aktywnego D-6 (widocznego dla obu kierunków) zasilanego z turbiny wiatrowej oraz panelu fotowoltaicznego</w:t>
      </w:r>
      <w:r w:rsidR="00670FAA" w:rsidRPr="00FB3583">
        <w:rPr>
          <w:rFonts w:cstheme="minorHAnsi"/>
        </w:rPr>
        <w:t>.</w:t>
      </w:r>
    </w:p>
    <w:p w14:paraId="4D8589F3" w14:textId="6440F28C" w:rsidR="006D11F8" w:rsidRPr="00FB3583" w:rsidRDefault="006D11F8" w:rsidP="00600CC1">
      <w:pPr>
        <w:jc w:val="both"/>
        <w:rPr>
          <w:rFonts w:cstheme="minorHAnsi"/>
        </w:rPr>
      </w:pPr>
    </w:p>
    <w:p w14:paraId="00CEB1EF" w14:textId="186E22D7" w:rsidR="00670FAA" w:rsidRPr="00FB3583" w:rsidRDefault="00D42C33" w:rsidP="006938AB">
      <w:pPr>
        <w:jc w:val="both"/>
        <w:rPr>
          <w:rFonts w:cstheme="minorHAnsi"/>
        </w:rPr>
      </w:pPr>
      <w:r w:rsidRPr="00FB3583">
        <w:rPr>
          <w:rFonts w:cstheme="minorHAnsi"/>
        </w:rPr>
        <w:t xml:space="preserve">Przedmiotem zamówienia </w:t>
      </w:r>
      <w:r w:rsidR="00670FAA" w:rsidRPr="00FB3583">
        <w:rPr>
          <w:rFonts w:cstheme="minorHAnsi"/>
        </w:rPr>
        <w:t>jest dostawa i montaż wraz z wykonaniem wymaganych prawem uzgodnień</w:t>
      </w:r>
      <w:r w:rsidRPr="00FB3583">
        <w:rPr>
          <w:rFonts w:cstheme="minorHAnsi"/>
        </w:rPr>
        <w:t xml:space="preserve"> </w:t>
      </w:r>
      <w:r w:rsidR="00670FAA" w:rsidRPr="00FB3583">
        <w:rPr>
          <w:rFonts w:cstheme="minorHAnsi"/>
        </w:rPr>
        <w:t xml:space="preserve">obejmujących doświetlenie istniejących przejść dla pieszych w trzech lokalizacjach: </w:t>
      </w:r>
    </w:p>
    <w:p w14:paraId="46A7B1C2" w14:textId="77777777" w:rsidR="00670FAA" w:rsidRPr="00FB3583" w:rsidRDefault="00670FAA" w:rsidP="006938A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FB3583">
        <w:rPr>
          <w:rFonts w:eastAsia="Times New Roman" w:cstheme="minorHAnsi"/>
        </w:rPr>
        <w:t>Guzew przejście przy szkole</w:t>
      </w:r>
    </w:p>
    <w:p w14:paraId="2A5B37E5" w14:textId="77777777" w:rsidR="00670FAA" w:rsidRPr="00FB3583" w:rsidRDefault="00670FAA" w:rsidP="006938A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FB3583">
        <w:rPr>
          <w:rFonts w:eastAsia="Times New Roman" w:cstheme="minorHAnsi"/>
        </w:rPr>
        <w:t>Tadzin przejście przy szkole</w:t>
      </w:r>
    </w:p>
    <w:p w14:paraId="087C0C8F" w14:textId="77777777" w:rsidR="00670FAA" w:rsidRPr="00FB3583" w:rsidRDefault="00670FAA" w:rsidP="006938A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FB3583">
        <w:rPr>
          <w:rFonts w:eastAsia="Times New Roman" w:cstheme="minorHAnsi"/>
        </w:rPr>
        <w:t xml:space="preserve">Rzgów skrzyżowanie Tuszyńska / Rzemieślnicza (dość duży ruch pieszych ze względu na dyskont spożywczy). </w:t>
      </w:r>
    </w:p>
    <w:p w14:paraId="22BB213C" w14:textId="77777777" w:rsidR="00FB3583" w:rsidRPr="00FB3583" w:rsidRDefault="00FB3583" w:rsidP="006938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8CAA23F" w14:textId="3B4A0C00" w:rsidR="00670FAA" w:rsidRPr="00FB3583" w:rsidRDefault="00670FAA" w:rsidP="006938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We wskazanych lokalizacjach przewiduje się montaż dwustronnego podświetlanego znaku D-6 (wymiany </w:t>
      </w:r>
      <w:r w:rsidR="00DA206E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60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x</w:t>
      </w:r>
      <w:r w:rsidR="00DA206E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6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0) oraz oświetlenia przejścia na stalowej </w:t>
      </w:r>
      <w:r w:rsidR="006938AB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ogniowo 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ocynkowanej konstrukcji podpartej z</w:t>
      </w:r>
      <w:r w:rsidR="00FB358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 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jednej strony ulicy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. Na konstrukcji poza znakiem i oświetleniem przejścia znajdować się będzie turbina wiatrowa oraz panel fotowoltaiczny wraz z </w:t>
      </w:r>
      <w:r w:rsidR="006938AB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żelowymi 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akumulatorami 12V </w:t>
      </w:r>
      <w:r w:rsidR="006938AB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dedykowanymi do pracy hybrydowej, 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umożliwiającymi pracę instalacji przez min. 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96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h bez dostępu do światła słonecznego i</w:t>
      </w:r>
      <w:r w:rsidR="00FB358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 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wiatru. </w:t>
      </w:r>
    </w:p>
    <w:p w14:paraId="5868018E" w14:textId="77777777" w:rsidR="005A2D03" w:rsidRPr="00FB3583" w:rsidRDefault="005A2D03" w:rsidP="00670FA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975A5C4" w14:textId="4D77F7A5" w:rsidR="005A2D03" w:rsidRPr="00FB3583" w:rsidRDefault="005A2D03" w:rsidP="00670FA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Podstawowe wytyczne: </w:t>
      </w:r>
    </w:p>
    <w:p w14:paraId="38FB62A8" w14:textId="77777777" w:rsidR="005A2D03" w:rsidRPr="00FB3583" w:rsidRDefault="005A2D03" w:rsidP="00670FA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0F2961DC" w14:textId="2EDC800E" w:rsidR="005A2D03" w:rsidRPr="00FB3583" w:rsidRDefault="005A2D03" w:rsidP="00670FA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Turbina wiatrowa:</w:t>
      </w:r>
    </w:p>
    <w:p w14:paraId="3C8F9F26" w14:textId="77777777" w:rsidR="006938AB" w:rsidRPr="00FB3583" w:rsidRDefault="006938AB" w:rsidP="00670FA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7AE80853" w14:textId="5FD71D2F" w:rsidR="005A2D03" w:rsidRPr="00FB3583" w:rsidRDefault="005A2D03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Minimalna moc turbiny: 8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5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 </w:t>
      </w:r>
    </w:p>
    <w:p w14:paraId="32946325" w14:textId="77777777" w:rsidR="005A2D03" w:rsidRPr="00FB3583" w:rsidRDefault="005A2D03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Ilość łopat: 3 szt. lub 5 szt.</w:t>
      </w:r>
    </w:p>
    <w:p w14:paraId="16A2DFFD" w14:textId="30622E46" w:rsidR="005A2D03" w:rsidRPr="00FB3583" w:rsidRDefault="005A2D03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26D2943" w14:textId="21AC372C" w:rsidR="005A2D03" w:rsidRPr="00FB3583" w:rsidRDefault="005A2D03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Panel fotowoltaiczny:</w:t>
      </w:r>
    </w:p>
    <w:p w14:paraId="69994B5E" w14:textId="77777777" w:rsidR="006938AB" w:rsidRPr="00FB3583" w:rsidRDefault="006938AB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50D4AB95" w14:textId="77C44869" w:rsidR="005A2D03" w:rsidRPr="00FB3583" w:rsidRDefault="005A2D03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Moc paneli: minimum 2 x 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25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0W </w:t>
      </w:r>
    </w:p>
    <w:p w14:paraId="34794FAD" w14:textId="77777777" w:rsidR="005A2D03" w:rsidRPr="00FB3583" w:rsidRDefault="005A2D03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8FDCD4D" w14:textId="77777777" w:rsidR="00FB3583" w:rsidRPr="00FB3583" w:rsidRDefault="005A2D03" w:rsidP="00FB358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Aktywny znak D6 (pylon) z pulsatorem</w:t>
      </w:r>
      <w:r w:rsidR="00FB3583" w:rsidRPr="00FB3583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6BA6BB15" w14:textId="42B52B47" w:rsidR="005A2D03" w:rsidRPr="00FB3583" w:rsidRDefault="00FB3583" w:rsidP="00FB3583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wustronnie podświetlany znak D6 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6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00x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6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00mm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z podświetlenie wewnętrzne lub zewnętrzne,  nad znakiem D6 dwustronny pulsator LED o średnicy 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2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00mm (+/- 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2</w:t>
      </w:r>
      <w:r w:rsidR="005A2D0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0 mm)</w:t>
      </w:r>
    </w:p>
    <w:p w14:paraId="345703F0" w14:textId="77777777" w:rsidR="005A2D03" w:rsidRPr="00FB3583" w:rsidRDefault="005A2D03" w:rsidP="005A2D0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20307A" w14:textId="40E6D887" w:rsidR="00744595" w:rsidRPr="00FB3583" w:rsidRDefault="00744595" w:rsidP="00744595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System detekcji ruchu pieszego:</w:t>
      </w:r>
    </w:p>
    <w:p w14:paraId="00B4364A" w14:textId="77777777" w:rsidR="006938AB" w:rsidRPr="00FB3583" w:rsidRDefault="006938AB" w:rsidP="00744595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64F0B06E" w14:textId="37F09667" w:rsidR="00744595" w:rsidRPr="00FB3583" w:rsidRDefault="00744595" w:rsidP="006938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Instalacje należy wyposażyć w czujnik</w:t>
      </w:r>
      <w:r w:rsidR="00253E9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ruchu skierowane na obie strony przejścia. W przypadku wykrycia pieszego 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lampy oświetlające przejście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rozświetl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ają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się do pełnej mocy (bez wykrycia pieszego podświetlony na około 20-30%)</w:t>
      </w:r>
      <w:r w:rsidR="00DA206E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oraz zaczynają pulsować</w:t>
      </w:r>
      <w:r w:rsidR="003A2691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Instalacja powinna powrócić do stanu „czuwania” 15 sekund od braku sygnału z czujników ruchu (15 sekund po zejściu pieszego z</w:t>
      </w:r>
      <w:r w:rsidR="00FB358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 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przejścia). </w:t>
      </w:r>
    </w:p>
    <w:p w14:paraId="7311DDE0" w14:textId="77777777" w:rsidR="00F01720" w:rsidRPr="00FB3583" w:rsidRDefault="00F01720" w:rsidP="006938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E5E5759" w14:textId="4CB5BC9E" w:rsidR="00670FAA" w:rsidRPr="00FB3583" w:rsidRDefault="006938AB" w:rsidP="006938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Konstrukcja wsporcza:</w:t>
      </w:r>
    </w:p>
    <w:p w14:paraId="278762D7" w14:textId="77777777" w:rsidR="006938AB" w:rsidRPr="00FB3583" w:rsidRDefault="006938AB" w:rsidP="006938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251365C8" w14:textId="77777777" w:rsidR="00B023FD" w:rsidRPr="00FB3583" w:rsidRDefault="006938AB" w:rsidP="00C359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Konstrukcja stalowa ocynkowana ogniowo. 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Słup </w:t>
      </w:r>
      <w:r w:rsidR="00B023FD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główny 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wysokość: </w:t>
      </w:r>
      <w:r w:rsidR="00B023FD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min. 5,7 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m</w:t>
      </w:r>
      <w:r w:rsidR="00B023FD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(całkowita wysokość powiększona o wysokość turbiny nie może przekroczyć 10 m)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, ramie na wysokości </w:t>
      </w:r>
      <w:r w:rsidR="00B023FD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min. 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5,</w:t>
      </w:r>
      <w:r w:rsidR="00B023FD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8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m </w:t>
      </w:r>
    </w:p>
    <w:p w14:paraId="676FA2CE" w14:textId="07E22C12" w:rsidR="00670FAA" w:rsidRPr="00FB3583" w:rsidRDefault="00670FAA" w:rsidP="00C359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dł., ramienia: </w:t>
      </w:r>
      <w:r w:rsidR="00B023FD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5,5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m</w:t>
      </w:r>
      <w:r w:rsidR="00B023FD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="006938AB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prześwit pod znakiem </w:t>
      </w:r>
      <w:r w:rsidR="006938AB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min. 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5,5m</w:t>
      </w:r>
      <w:r w:rsidR="006938AB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6C3925E6" w14:textId="57874E03" w:rsidR="00670FAA" w:rsidRPr="00FB3583" w:rsidRDefault="006938AB" w:rsidP="00FB35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W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ysięgnik dla turbiny wiatrowej oraz stelaż dla paneli fotowoltaicznych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70FAA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przystosowany dla I strefy wiatrowej</w:t>
      </w:r>
      <w:r w:rsidR="00FB3583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  <w:r w:rsidR="00D9401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Panel fotowoltaiczny zostaną umieszczone na szczycie konstrukcji w celu maksymalnego </w:t>
      </w:r>
      <w:r w:rsidR="00D9401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 xml:space="preserve">zbierania energii elektrycznej. Energia słoneczna oraz energia z wiatru będzie zamieniana na energię elektryczną, która będzie zasilać oprawę oświetleniową oraz ładować akumulatory. </w:t>
      </w:r>
    </w:p>
    <w:p w14:paraId="77AA374A" w14:textId="77777777" w:rsidR="006938AB" w:rsidRPr="00FB3583" w:rsidRDefault="006938AB" w:rsidP="006938AB">
      <w:pPr>
        <w:jc w:val="both"/>
        <w:rPr>
          <w:rFonts w:cstheme="minorHAnsi"/>
        </w:rPr>
      </w:pPr>
    </w:p>
    <w:p w14:paraId="47DB303F" w14:textId="77777777" w:rsidR="00FB3583" w:rsidRPr="00FB3583" w:rsidRDefault="00FB3583" w:rsidP="006938AB">
      <w:pPr>
        <w:jc w:val="both"/>
        <w:rPr>
          <w:rFonts w:cstheme="minorHAnsi"/>
        </w:rPr>
      </w:pPr>
    </w:p>
    <w:p w14:paraId="2EC84453" w14:textId="339AA44A" w:rsidR="006938AB" w:rsidRPr="00FB3583" w:rsidRDefault="006938AB" w:rsidP="006938AB">
      <w:pPr>
        <w:jc w:val="both"/>
        <w:rPr>
          <w:rFonts w:cstheme="minorHAnsi"/>
        </w:rPr>
      </w:pPr>
      <w:r w:rsidRPr="00FB3583">
        <w:rPr>
          <w:rFonts w:cstheme="minorHAnsi"/>
        </w:rPr>
        <w:t xml:space="preserve">Wszelkie zainstalowane urządzenia muszą posiadać niezbędne dopuszczenia i certyfikaty, posiadać stopień szczelności oraz odporność na warunki atmosferyczne. Puszka przeznaczona do montażu akumulatorów musi mieć możliwość zainstalowania zamka oraz „ucho” przeznaczone do montażu kłódki. </w:t>
      </w:r>
      <w:r w:rsidR="00C359CB" w:rsidRPr="00FB3583">
        <w:rPr>
          <w:rFonts w:cstheme="minorHAnsi"/>
        </w:rPr>
        <w:t xml:space="preserve">Przy montażu urządzenia należy przewidzieć optymalny montaż paneli fotowoltaicznych uwzględniając najmniejsze zacienienie, natomiast dla turbiny wiatrowej brak przysłonięcia. </w:t>
      </w:r>
    </w:p>
    <w:p w14:paraId="20B3A55B" w14:textId="77777777" w:rsidR="00F01720" w:rsidRPr="00FB3583" w:rsidRDefault="00F01720" w:rsidP="00F01720">
      <w:pPr>
        <w:pStyle w:val="Akapitzlist"/>
        <w:tabs>
          <w:tab w:val="left" w:pos="7155"/>
          <w:tab w:val="left" w:pos="7620"/>
        </w:tabs>
        <w:spacing w:before="120" w:after="120" w:line="276" w:lineRule="auto"/>
        <w:ind w:left="283"/>
        <w:jc w:val="both"/>
        <w:rPr>
          <w:rFonts w:cstheme="minorHAnsi"/>
          <w:b/>
        </w:rPr>
      </w:pPr>
    </w:p>
    <w:p w14:paraId="348C454E" w14:textId="757EE8BE" w:rsidR="00F01720" w:rsidRPr="00FB3583" w:rsidRDefault="00F01720" w:rsidP="00F01720">
      <w:pPr>
        <w:pStyle w:val="Akapitzlist"/>
        <w:tabs>
          <w:tab w:val="left" w:pos="7155"/>
          <w:tab w:val="left" w:pos="7620"/>
        </w:tabs>
        <w:spacing w:before="120" w:after="120" w:line="276" w:lineRule="auto"/>
        <w:ind w:left="0"/>
        <w:jc w:val="both"/>
        <w:rPr>
          <w:rFonts w:cstheme="minorHAnsi"/>
          <w:b/>
        </w:rPr>
      </w:pPr>
      <w:r w:rsidRPr="00FB3583">
        <w:rPr>
          <w:rFonts w:cstheme="minorHAnsi"/>
          <w:b/>
        </w:rPr>
        <w:t>Ponadto Wykonawca  musi uwzględnić m.in.:</w:t>
      </w:r>
    </w:p>
    <w:p w14:paraId="044B902A" w14:textId="698F45AD" w:rsidR="00F01720" w:rsidRPr="00FB3583" w:rsidRDefault="00F01720" w:rsidP="00F01720">
      <w:pPr>
        <w:pStyle w:val="Bezodstpw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B3583">
        <w:rPr>
          <w:rFonts w:asciiTheme="minorHAnsi" w:hAnsiTheme="minorHAnsi" w:cstheme="minorHAnsi"/>
        </w:rPr>
        <w:t>obsługę geodezyjną w trakcie wykonywania robót, jak i po zakończeniu robót   (inwentaryzacja geodezyjna powykonawcza),</w:t>
      </w:r>
    </w:p>
    <w:p w14:paraId="61E65207" w14:textId="77777777" w:rsidR="00F01720" w:rsidRPr="00FB3583" w:rsidRDefault="00F01720" w:rsidP="00F01720">
      <w:pPr>
        <w:pStyle w:val="Bezodstpw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B3583">
        <w:rPr>
          <w:rFonts w:asciiTheme="minorHAnsi" w:hAnsiTheme="minorHAnsi" w:cstheme="minorHAnsi"/>
        </w:rPr>
        <w:t>zaplecze budowy (we własnym zakresie),</w:t>
      </w:r>
    </w:p>
    <w:p w14:paraId="5BE5CE47" w14:textId="79CE6A90" w:rsidR="00F01720" w:rsidRPr="00FB3583" w:rsidRDefault="00F01720" w:rsidP="00F01720">
      <w:pPr>
        <w:pStyle w:val="Bezodstpw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B3583">
        <w:rPr>
          <w:rFonts w:asciiTheme="minorHAnsi" w:hAnsiTheme="minorHAnsi" w:cstheme="minorHAnsi"/>
        </w:rPr>
        <w:t>tymczasową organizację ruchu drogowego,</w:t>
      </w:r>
    </w:p>
    <w:p w14:paraId="3B6908F1" w14:textId="77777777" w:rsidR="00F01720" w:rsidRPr="00FB3583" w:rsidRDefault="00F01720" w:rsidP="00F01720">
      <w:pPr>
        <w:pStyle w:val="Bezodstpw"/>
        <w:ind w:left="66"/>
        <w:jc w:val="both"/>
        <w:rPr>
          <w:rFonts w:asciiTheme="minorHAnsi" w:hAnsiTheme="minorHAnsi" w:cstheme="minorHAnsi"/>
          <w:kern w:val="2"/>
        </w:rPr>
      </w:pPr>
    </w:p>
    <w:p w14:paraId="40787CF2" w14:textId="695E2122" w:rsidR="0095347E" w:rsidRPr="00FB3583" w:rsidRDefault="00F01720" w:rsidP="00F017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Oferent winien uwzględnić w swojej ofercie wszelkie koszty przedmiotowego zamówienia</w:t>
      </w:r>
      <w:r w:rsidR="0095347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09A399C8" w14:textId="5C8A1407" w:rsidR="00C359CB" w:rsidRDefault="00F01720" w:rsidP="00F017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Załączony przedmiar robót stanowi element pomocniczy i może on ulec zmianie</w:t>
      </w:r>
      <w:r w:rsidR="0095347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77F440FB" w14:textId="3B8ACB05" w:rsidR="0095347E" w:rsidRPr="00FB3583" w:rsidRDefault="0095347E" w:rsidP="00F017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5347E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Oferent przed złożeniem oferty zapozna się  z terenem  budowy (szczególną uwagę zwróci na istniejące uzbrojenie podziemne)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516B310A" w14:textId="687C325E" w:rsidR="00C359CB" w:rsidRPr="00FB3583" w:rsidRDefault="00C359CB" w:rsidP="00F017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Minimaln</w:t>
      </w:r>
      <w:r w:rsidR="000776A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gwarancja to: </w:t>
      </w:r>
      <w:r w:rsidR="00F01720"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36</w:t>
      </w: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miesięcy</w:t>
      </w:r>
      <w:r w:rsidR="000776A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301C2B32" w14:textId="509C3F50" w:rsidR="00F01720" w:rsidRPr="00FB3583" w:rsidRDefault="00F01720" w:rsidP="00F017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FB358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Przewidywany czas robót: 3 miesiące od podpisania umowy</w:t>
      </w:r>
      <w:r w:rsidR="000776A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791B2A95" w14:textId="77777777" w:rsidR="00670FAA" w:rsidRPr="00FB3583" w:rsidRDefault="00670FAA" w:rsidP="00600CC1">
      <w:pPr>
        <w:jc w:val="both"/>
        <w:rPr>
          <w:rFonts w:cstheme="minorHAnsi"/>
        </w:rPr>
      </w:pPr>
    </w:p>
    <w:p w14:paraId="2F290340" w14:textId="77777777" w:rsidR="00670FAA" w:rsidRPr="00FB3583" w:rsidRDefault="00670FAA" w:rsidP="00600CC1">
      <w:pPr>
        <w:jc w:val="both"/>
        <w:rPr>
          <w:rFonts w:cstheme="minorHAnsi"/>
        </w:rPr>
      </w:pPr>
    </w:p>
    <w:p w14:paraId="502BA5C3" w14:textId="77777777" w:rsidR="00670FAA" w:rsidRPr="00FB3583" w:rsidRDefault="00670FAA" w:rsidP="00600CC1">
      <w:pPr>
        <w:jc w:val="both"/>
        <w:rPr>
          <w:rFonts w:cstheme="minorHAnsi"/>
        </w:rPr>
      </w:pPr>
    </w:p>
    <w:p w14:paraId="004A83B4" w14:textId="77777777" w:rsidR="00670FAA" w:rsidRPr="00FB3583" w:rsidRDefault="00670FAA" w:rsidP="00600CC1">
      <w:pPr>
        <w:jc w:val="both"/>
        <w:rPr>
          <w:rFonts w:cstheme="minorHAnsi"/>
        </w:rPr>
      </w:pPr>
    </w:p>
    <w:p w14:paraId="55C4D3EB" w14:textId="77777777" w:rsidR="00670FAA" w:rsidRPr="00FB3583" w:rsidRDefault="00670FAA" w:rsidP="00600CC1">
      <w:pPr>
        <w:jc w:val="both"/>
        <w:rPr>
          <w:rFonts w:cstheme="minorHAnsi"/>
        </w:rPr>
      </w:pPr>
    </w:p>
    <w:p w14:paraId="3178EBC4" w14:textId="77777777" w:rsidR="00670FAA" w:rsidRPr="00FB3583" w:rsidRDefault="00670FAA" w:rsidP="00600CC1">
      <w:pPr>
        <w:jc w:val="both"/>
        <w:rPr>
          <w:rFonts w:cstheme="minorHAnsi"/>
        </w:rPr>
      </w:pPr>
    </w:p>
    <w:p w14:paraId="2E84841A" w14:textId="77777777" w:rsidR="00670FAA" w:rsidRPr="00FB3583" w:rsidRDefault="00670FAA" w:rsidP="00600CC1">
      <w:pPr>
        <w:jc w:val="both"/>
        <w:rPr>
          <w:rFonts w:cstheme="minorHAnsi"/>
        </w:rPr>
      </w:pPr>
    </w:p>
    <w:sectPr w:rsidR="00670FAA" w:rsidRPr="00FB3583" w:rsidSect="00FF478C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4924" w14:textId="77777777" w:rsidR="0014340D" w:rsidRDefault="0014340D" w:rsidP="005C3486">
      <w:pPr>
        <w:spacing w:after="0" w:line="240" w:lineRule="auto"/>
      </w:pPr>
      <w:r>
        <w:separator/>
      </w:r>
    </w:p>
  </w:endnote>
  <w:endnote w:type="continuationSeparator" w:id="0">
    <w:p w14:paraId="05D516F0" w14:textId="77777777" w:rsidR="0014340D" w:rsidRDefault="0014340D" w:rsidP="005C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004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F245F3" w14:textId="1344E2DD" w:rsidR="00F01720" w:rsidRDefault="00F0172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FDC63B" w14:textId="2B6E0CEA" w:rsidR="00114C6A" w:rsidRDefault="00114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BDE6" w14:textId="77777777" w:rsidR="0014340D" w:rsidRDefault="0014340D" w:rsidP="005C3486">
      <w:pPr>
        <w:spacing w:after="0" w:line="240" w:lineRule="auto"/>
      </w:pPr>
      <w:r>
        <w:separator/>
      </w:r>
    </w:p>
  </w:footnote>
  <w:footnote w:type="continuationSeparator" w:id="0">
    <w:p w14:paraId="171383FB" w14:textId="77777777" w:rsidR="0014340D" w:rsidRDefault="0014340D" w:rsidP="005C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24C"/>
    <w:multiLevelType w:val="hybridMultilevel"/>
    <w:tmpl w:val="9BD60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03B8"/>
    <w:multiLevelType w:val="hybridMultilevel"/>
    <w:tmpl w:val="E1D2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235B"/>
    <w:multiLevelType w:val="hybridMultilevel"/>
    <w:tmpl w:val="E8C2F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7919"/>
    <w:multiLevelType w:val="hybridMultilevel"/>
    <w:tmpl w:val="10B2DB4C"/>
    <w:lvl w:ilvl="0" w:tplc="69487E7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95342405">
    <w:abstractNumId w:val="2"/>
  </w:num>
  <w:num w:numId="2" w16cid:durableId="1030060536">
    <w:abstractNumId w:val="1"/>
  </w:num>
  <w:num w:numId="3" w16cid:durableId="2003119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890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33"/>
    <w:rsid w:val="00046780"/>
    <w:rsid w:val="00050E01"/>
    <w:rsid w:val="000776A3"/>
    <w:rsid w:val="00114C6A"/>
    <w:rsid w:val="0014340D"/>
    <w:rsid w:val="001535AF"/>
    <w:rsid w:val="0019059D"/>
    <w:rsid w:val="00213568"/>
    <w:rsid w:val="00253E98"/>
    <w:rsid w:val="00274859"/>
    <w:rsid w:val="002F27DD"/>
    <w:rsid w:val="003A2691"/>
    <w:rsid w:val="003F01EE"/>
    <w:rsid w:val="005A2D03"/>
    <w:rsid w:val="005C1FD1"/>
    <w:rsid w:val="005C3486"/>
    <w:rsid w:val="005C77B8"/>
    <w:rsid w:val="00600CC1"/>
    <w:rsid w:val="00670FAA"/>
    <w:rsid w:val="006938AB"/>
    <w:rsid w:val="006D11F8"/>
    <w:rsid w:val="00744595"/>
    <w:rsid w:val="00754870"/>
    <w:rsid w:val="0095347E"/>
    <w:rsid w:val="00B023FD"/>
    <w:rsid w:val="00B218A6"/>
    <w:rsid w:val="00C359CB"/>
    <w:rsid w:val="00D42C33"/>
    <w:rsid w:val="00D75C3E"/>
    <w:rsid w:val="00D94013"/>
    <w:rsid w:val="00DA206E"/>
    <w:rsid w:val="00EC2E42"/>
    <w:rsid w:val="00F01720"/>
    <w:rsid w:val="00F105C0"/>
    <w:rsid w:val="00FB3583"/>
    <w:rsid w:val="00FE6D9B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8048E"/>
  <w15:chartTrackingRefBased/>
  <w15:docId w15:val="{9CB37F63-671C-4347-95A6-E5E7DA4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4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4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C6A"/>
  </w:style>
  <w:style w:type="paragraph" w:styleId="Stopka">
    <w:name w:val="footer"/>
    <w:basedOn w:val="Normalny"/>
    <w:link w:val="StopkaZnak"/>
    <w:uiPriority w:val="99"/>
    <w:unhideWhenUsed/>
    <w:rsid w:val="0011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C6A"/>
  </w:style>
  <w:style w:type="paragraph" w:styleId="NormalnyWeb">
    <w:name w:val="Normal (Web)"/>
    <w:basedOn w:val="Normalny"/>
    <w:uiPriority w:val="99"/>
    <w:unhideWhenUsed/>
    <w:rsid w:val="006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99"/>
    <w:qFormat/>
    <w:rsid w:val="00F01720"/>
    <w:pPr>
      <w:suppressAutoHyphens/>
      <w:spacing w:after="0" w:line="240" w:lineRule="auto"/>
    </w:pPr>
    <w:rPr>
      <w:rFonts w:ascii="Calibri" w:eastAsia="Lucida Sans Unicode" w:hAnsi="Calibri" w:cs="font249"/>
      <w:kern w:val="1"/>
      <w:lang w:eastAsia="ar-SA"/>
      <w14:ligatures w14:val="none"/>
    </w:rPr>
  </w:style>
  <w:style w:type="character" w:customStyle="1" w:styleId="BezodstpwZnak">
    <w:name w:val="Bez odstępów Znak"/>
    <w:link w:val="Bezodstpw"/>
    <w:uiPriority w:val="99"/>
    <w:rsid w:val="00F01720"/>
    <w:rPr>
      <w:rFonts w:ascii="Calibri" w:eastAsia="Lucida Sans Unicode" w:hAnsi="Calibri" w:cs="font249"/>
      <w:kern w:val="1"/>
      <w:lang w:eastAsia="ar-SA"/>
      <w14:ligatures w14:val="none"/>
    </w:rPr>
  </w:style>
  <w:style w:type="paragraph" w:styleId="Tekstpodstawowy">
    <w:name w:val="Body Text"/>
    <w:basedOn w:val="Normalny"/>
    <w:link w:val="TekstpodstawowyZnak1"/>
    <w:rsid w:val="00FF478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F478C"/>
  </w:style>
  <w:style w:type="character" w:customStyle="1" w:styleId="TekstpodstawowyZnak1">
    <w:name w:val="Tekst podstawowy Znak1"/>
    <w:basedOn w:val="Domylnaczcionkaakapitu"/>
    <w:link w:val="Tekstpodstawowy"/>
    <w:rsid w:val="00FF478C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Mijas</dc:creator>
  <cp:keywords/>
  <dc:description/>
  <cp:lastModifiedBy>Beata Florczyk</cp:lastModifiedBy>
  <cp:revision>9</cp:revision>
  <cp:lastPrinted>2023-07-24T12:37:00Z</cp:lastPrinted>
  <dcterms:created xsi:type="dcterms:W3CDTF">2023-06-16T05:14:00Z</dcterms:created>
  <dcterms:modified xsi:type="dcterms:W3CDTF">2023-07-26T10:00:00Z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2023-05-19T06:55:04Z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046bfb69-448d-40b8-a6c4-faf4afb66fd7</vt:lpwstr>
  </property>
  <property fmtid="{D5CDD505-2E9C-101B-9397-08002B2CF9AE}" pid="8" name="MSIP_Label_23f93e5f-d3c2-49a7-ba94-15405423c204_ContentBits">
    <vt:lpwstr>2</vt:lpwstr>
  </property>
</Properties>
</file>