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03" w:rsidRPr="006779BB" w:rsidRDefault="00965003" w:rsidP="00965003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SIWZ</w:t>
      </w:r>
    </w:p>
    <w:p w:rsidR="00965003" w:rsidRPr="004D3561" w:rsidRDefault="00965003" w:rsidP="0096500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Opis przedmiotu zamówienia</w:t>
      </w:r>
    </w:p>
    <w:p w:rsidR="008D3422" w:rsidRPr="008D3422" w:rsidRDefault="008D3422" w:rsidP="008D3422">
      <w:pPr>
        <w:pStyle w:val="Tekstprzypisudolnego"/>
        <w:tabs>
          <w:tab w:val="left" w:pos="6662"/>
        </w:tabs>
        <w:spacing w:line="276" w:lineRule="auto"/>
        <w:jc w:val="center"/>
        <w:rPr>
          <w:b/>
          <w:spacing w:val="4"/>
          <w:sz w:val="28"/>
          <w:szCs w:val="28"/>
        </w:rPr>
      </w:pPr>
      <w:r w:rsidRPr="008D3422">
        <w:rPr>
          <w:b/>
          <w:spacing w:val="4"/>
          <w:sz w:val="28"/>
          <w:szCs w:val="28"/>
        </w:rPr>
        <w:t>Wykonanie odwiertu studni w miejscowości Czyżeminek.</w:t>
      </w:r>
    </w:p>
    <w:p w:rsidR="003D4690" w:rsidRDefault="003D4690"/>
    <w:p w:rsidR="00965003" w:rsidRDefault="00965003"/>
    <w:p w:rsidR="00965003" w:rsidRDefault="00965003" w:rsidP="00C05A1F">
      <w:pPr>
        <w:spacing w:line="276" w:lineRule="auto"/>
        <w:ind w:left="-142"/>
        <w:jc w:val="both"/>
      </w:pPr>
      <w:r>
        <w:t xml:space="preserve">Pod względem administracyjnym teren projektowanych robót znajduje się </w:t>
      </w:r>
      <w:r>
        <w:br/>
        <w:t xml:space="preserve">w miejscowości Czyżeminek, gmina Rzgów, powiat łódzki wschodni, województwo łódzkie. </w:t>
      </w:r>
    </w:p>
    <w:p w:rsidR="00965003" w:rsidRDefault="00965003" w:rsidP="00C05A1F">
      <w:pPr>
        <w:pStyle w:val="Tekstpodstawowywcity"/>
        <w:tabs>
          <w:tab w:val="left" w:pos="0"/>
        </w:tabs>
        <w:spacing w:line="276" w:lineRule="auto"/>
        <w:ind w:left="-142"/>
        <w:jc w:val="both"/>
      </w:pPr>
      <w:r>
        <w:t xml:space="preserve">Projektowany otwór znajdować się będzie w centralnej części miejscowości na wygrodzonej działce nr 37 obręb ewidencyjny Czyżeminek. Na powyższej działce znajduje się ujęcie wiejskie – istniejąca studnia nr 1 ujmująca do eksploatacji czwartorzędowy poziom wodonośny oraz hydrofornia. </w:t>
      </w:r>
      <w:r w:rsidR="00F41833">
        <w:t xml:space="preserve">. Odległość miedzy studniami wynosić będzie ca </w:t>
      </w:r>
      <w:smartTag w:uri="urn:schemas-microsoft-com:office:smarttags" w:element="metricconverter">
        <w:smartTagPr>
          <w:attr w:name="ProductID" w:val="12 m"/>
        </w:smartTagPr>
        <w:r w:rsidR="00F41833">
          <w:t>12 m</w:t>
        </w:r>
      </w:smartTag>
      <w:r w:rsidR="00F41833">
        <w:t xml:space="preserve">. </w:t>
      </w:r>
    </w:p>
    <w:p w:rsidR="00965003" w:rsidRDefault="00965003" w:rsidP="00C05A1F">
      <w:pPr>
        <w:pStyle w:val="Tekstpodstawowywcity2"/>
        <w:spacing w:line="276" w:lineRule="auto"/>
        <w:ind w:left="-142"/>
        <w:jc w:val="both"/>
      </w:pPr>
      <w:r>
        <w:t xml:space="preserve">Lokalizację projektowanego otworu studziennego przedstawiono na mapie topograficznej w skali 1 : 25000 (załącznik nr 4) oraz na mapie sytuacyjno – wysokościowej w skali 1 : 1000 – załącznik nr 5. </w:t>
      </w:r>
    </w:p>
    <w:p w:rsidR="00965003" w:rsidRDefault="00965003" w:rsidP="00C05A1F">
      <w:pPr>
        <w:spacing w:line="276" w:lineRule="auto"/>
        <w:ind w:left="-142"/>
        <w:jc w:val="both"/>
      </w:pPr>
      <w:r>
        <w:t xml:space="preserve">Rzędna terenu w miejscu lokalizacji projektowanego otworu studziennego wynosi około </w:t>
      </w:r>
      <w:smartTag w:uri="urn:schemas-microsoft-com:office:smarttags" w:element="metricconverter">
        <w:smartTagPr>
          <w:attr w:name="ProductID" w:val="193,5 m"/>
        </w:smartTagPr>
        <w:r>
          <w:t>193,5 m</w:t>
        </w:r>
      </w:smartTag>
      <w:r>
        <w:t xml:space="preserve"> n.p.m.</w:t>
      </w:r>
    </w:p>
    <w:p w:rsidR="00965003" w:rsidRDefault="00965003" w:rsidP="00C05A1F">
      <w:pPr>
        <w:tabs>
          <w:tab w:val="left" w:pos="540"/>
        </w:tabs>
        <w:spacing w:line="276" w:lineRule="auto"/>
        <w:ind w:left="-142"/>
        <w:jc w:val="both"/>
      </w:pPr>
      <w:r>
        <w:t>W oparciu o zebrane materiały archiwalne oraz wykonany przekrój hydrogeologiczny (załącznik 8) przypuszczalny profil geologiczny projektowanego otworu studziennego przedstawiał się będzie następująco:</w:t>
      </w:r>
    </w:p>
    <w:p w:rsidR="00965003" w:rsidRDefault="00965003" w:rsidP="00F41833">
      <w:pPr>
        <w:tabs>
          <w:tab w:val="left" w:pos="540"/>
        </w:tabs>
        <w:spacing w:line="360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4320"/>
        <w:gridCol w:w="2160"/>
      </w:tblGrid>
      <w:tr w:rsidR="00965003" w:rsidTr="009650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Przedział głębokości [m]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Wykształcenie litologiczne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Stratygrafia</w:t>
            </w:r>
          </w:p>
        </w:tc>
      </w:tr>
      <w:tr w:rsidR="00965003" w:rsidTr="0096500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0,0 – 2,0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Piasek drobnoziarnisty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czwartorzęd</w:t>
            </w:r>
          </w:p>
        </w:tc>
      </w:tr>
      <w:tr w:rsidR="00965003" w:rsidTr="0096500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2,0 – 5,0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Glina piaszczysta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65003" w:rsidTr="0096500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5,0 – 25,0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Żwir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65003" w:rsidTr="0096500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25,0 – 50,0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Piasek drobnoziarnisty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65003" w:rsidTr="0096500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50,0 – 53,0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Glina piaszczysta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65003" w:rsidTr="0096500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53,0 – 55,0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Ił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Neogen</w:t>
            </w:r>
          </w:p>
        </w:tc>
      </w:tr>
      <w:tr w:rsidR="00965003" w:rsidTr="0096500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55,0 – 140,0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</w:pPr>
            <w:r>
              <w:t>Wapienie, margle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5003" w:rsidRDefault="00965003" w:rsidP="00F41833">
            <w:pPr>
              <w:tabs>
                <w:tab w:val="left" w:pos="5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Kreda górna</w:t>
            </w:r>
          </w:p>
        </w:tc>
      </w:tr>
    </w:tbl>
    <w:p w:rsidR="00965003" w:rsidRDefault="00965003" w:rsidP="00F41833">
      <w:pPr>
        <w:tabs>
          <w:tab w:val="left" w:pos="540"/>
        </w:tabs>
        <w:spacing w:line="360" w:lineRule="auto"/>
        <w:jc w:val="both"/>
      </w:pPr>
    </w:p>
    <w:p w:rsidR="00965003" w:rsidRDefault="00965003" w:rsidP="00F41833">
      <w:pPr>
        <w:tabs>
          <w:tab w:val="left" w:pos="540"/>
        </w:tabs>
        <w:spacing w:line="360" w:lineRule="auto"/>
        <w:jc w:val="both"/>
      </w:pPr>
      <w:r>
        <w:t xml:space="preserve">Zwierciadło wody nawiercone zostanie na głębokości ca </w:t>
      </w:r>
      <w:smartTag w:uri="urn:schemas-microsoft-com:office:smarttags" w:element="metricconverter">
        <w:smartTagPr>
          <w:attr w:name="ProductID" w:val="55,0 m"/>
        </w:smartTagPr>
        <w:r>
          <w:t>55,0 m</w:t>
        </w:r>
      </w:smartTag>
      <w:r>
        <w:t xml:space="preserve"> o charakterze naporowym, a ustabilizuje się na głębokości około </w:t>
      </w:r>
      <w:smartTag w:uri="urn:schemas-microsoft-com:office:smarttags" w:element="metricconverter">
        <w:smartTagPr>
          <w:attr w:name="ProductID" w:val="8,0 m"/>
        </w:smartTagPr>
        <w:r>
          <w:t>8,0 m</w:t>
        </w:r>
      </w:smartTag>
      <w:r>
        <w:t xml:space="preserve">.  </w:t>
      </w:r>
    </w:p>
    <w:p w:rsidR="00965003" w:rsidRDefault="00965003" w:rsidP="00F41833">
      <w:pPr>
        <w:tabs>
          <w:tab w:val="left" w:pos="540"/>
          <w:tab w:val="left" w:pos="709"/>
        </w:tabs>
        <w:jc w:val="both"/>
        <w:rPr>
          <w:b/>
        </w:rPr>
      </w:pPr>
      <w:r>
        <w:rPr>
          <w:b/>
        </w:rPr>
        <w:t>Projektowane prace wiertnicze</w:t>
      </w:r>
    </w:p>
    <w:p w:rsidR="00965003" w:rsidRDefault="00965003" w:rsidP="00F41833">
      <w:pPr>
        <w:tabs>
          <w:tab w:val="left" w:pos="540"/>
        </w:tabs>
        <w:jc w:val="both"/>
      </w:pPr>
    </w:p>
    <w:p w:rsidR="00965003" w:rsidRDefault="00965003" w:rsidP="00F4183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W celu pokrycia zapotrzebowania na wodę projektuje się wykonanie jednego otworu ujmującego do eksploatacji </w:t>
      </w:r>
      <w:proofErr w:type="spellStart"/>
      <w:r>
        <w:rPr>
          <w:szCs w:val="28"/>
        </w:rPr>
        <w:t>górnokredowy</w:t>
      </w:r>
      <w:proofErr w:type="spellEnd"/>
      <w:r>
        <w:rPr>
          <w:szCs w:val="28"/>
        </w:rPr>
        <w:t xml:space="preserve"> poziom wodonośny  systemem mechanicznym, metodą obrotową  do głębokości docelowej </w:t>
      </w:r>
      <w:smartTag w:uri="urn:schemas-microsoft-com:office:smarttags" w:element="metricconverter">
        <w:smartTagPr>
          <w:attr w:name="ProductID" w:val="140,0 m"/>
        </w:smartTagPr>
        <w:r>
          <w:rPr>
            <w:szCs w:val="28"/>
          </w:rPr>
          <w:t>140,0 m</w:t>
        </w:r>
      </w:smartTag>
      <w:r>
        <w:rPr>
          <w:szCs w:val="28"/>
        </w:rPr>
        <w:t xml:space="preserve">. </w:t>
      </w:r>
    </w:p>
    <w:p w:rsidR="00965003" w:rsidRDefault="00965003" w:rsidP="00F41833">
      <w:pPr>
        <w:tabs>
          <w:tab w:val="left" w:pos="540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Do głębokości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 wiercenie prowadzić świdrem rurowym pod konduktor ø </w:t>
      </w:r>
      <w:smartTag w:uri="urn:schemas-microsoft-com:office:smarttags" w:element="metricconverter">
        <w:smartTagPr>
          <w:attr w:name="ProductID" w:val="24”"/>
        </w:smartTagPr>
        <w:r>
          <w:t>24”</w:t>
        </w:r>
      </w:smartTag>
      <w:r>
        <w:t>.</w:t>
      </w:r>
    </w:p>
    <w:p w:rsidR="00965003" w:rsidRDefault="00965003" w:rsidP="00F41833">
      <w:pPr>
        <w:tabs>
          <w:tab w:val="left" w:pos="540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jc w:val="both"/>
      </w:pPr>
      <w:r>
        <w:t xml:space="preserve">Poniżej, do głębokości około </w:t>
      </w:r>
      <w:smartTag w:uri="urn:schemas-microsoft-com:office:smarttags" w:element="metricconverter">
        <w:smartTagPr>
          <w:attr w:name="ProductID" w:val="61,0 m"/>
        </w:smartTagPr>
        <w:r>
          <w:t>61,0 m</w:t>
        </w:r>
      </w:smartTag>
      <w:r>
        <w:t xml:space="preserve"> wiercenie prowadzić na płuczkę bentonitową świdrem </w:t>
      </w:r>
      <w:proofErr w:type="spellStart"/>
      <w:r>
        <w:t>gryzerem</w:t>
      </w:r>
      <w:proofErr w:type="spellEnd"/>
      <w:r>
        <w:t xml:space="preserve"> ø </w:t>
      </w:r>
      <w:smartTag w:uri="urn:schemas-microsoft-com:office:smarttags" w:element="metricconverter">
        <w:smartTagPr>
          <w:attr w:name="ProductID" w:val="570 mm"/>
        </w:smartTagPr>
        <w:r>
          <w:t xml:space="preserve">570 </w:t>
        </w:r>
        <w:proofErr w:type="spellStart"/>
        <w:r>
          <w:t>mm</w:t>
        </w:r>
      </w:smartTag>
      <w:proofErr w:type="spellEnd"/>
      <w:r>
        <w:t xml:space="preserve">. Na głębokości </w:t>
      </w:r>
      <w:smartTag w:uri="urn:schemas-microsoft-com:office:smarttags" w:element="metricconverter">
        <w:smartTagPr>
          <w:attr w:name="ProductID" w:val="61,0 m"/>
        </w:smartTagPr>
        <w:r>
          <w:t>61,0 m</w:t>
        </w:r>
      </w:smartTag>
      <w:r>
        <w:t xml:space="preserve"> (min. </w:t>
      </w:r>
      <w:smartTag w:uri="urn:schemas-microsoft-com:office:smarttags" w:element="metricconverter">
        <w:smartTagPr>
          <w:attr w:name="ProductID" w:val="5 m"/>
        </w:smartTagPr>
        <w:r>
          <w:t>5 m</w:t>
        </w:r>
      </w:smartTag>
      <w:r>
        <w:t xml:space="preserve"> w twardych </w:t>
      </w:r>
      <w:proofErr w:type="spellStart"/>
      <w:r>
        <w:t>wapieniech</w:t>
      </w:r>
      <w:proofErr w:type="spellEnd"/>
      <w:r>
        <w:t xml:space="preserve">) zabudować kolumnę rur obsadowych ø </w:t>
      </w:r>
      <w:smartTag w:uri="urn:schemas-microsoft-com:office:smarttags" w:element="metricconverter">
        <w:smartTagPr>
          <w:attr w:name="ProductID" w:val="14”"/>
        </w:smartTagPr>
        <w:r>
          <w:t>14”</w:t>
        </w:r>
      </w:smartTag>
      <w:r>
        <w:t xml:space="preserve"> w korku cementowym o wysokości </w:t>
      </w:r>
      <w:smartTag w:uri="urn:schemas-microsoft-com:office:smarttags" w:element="metricconverter">
        <w:smartTagPr>
          <w:attr w:name="ProductID" w:val="11 m"/>
        </w:smartTagPr>
        <w:r>
          <w:t>11 m</w:t>
        </w:r>
      </w:smartTag>
      <w:r>
        <w:t xml:space="preserve">. </w:t>
      </w:r>
    </w:p>
    <w:p w:rsidR="00965003" w:rsidRDefault="00965003" w:rsidP="00F41833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Po związaniu cementu i zwierceniu korka do końcowej głębokości </w:t>
      </w:r>
      <w:smartTag w:uri="urn:schemas-microsoft-com:office:smarttags" w:element="metricconverter">
        <w:smartTagPr>
          <w:attr w:name="ProductID" w:val="140 m"/>
        </w:smartTagPr>
        <w:r>
          <w:t>140 m</w:t>
        </w:r>
      </w:smartTag>
      <w:r>
        <w:t xml:space="preserve"> wiercenie prowadzić świdrem </w:t>
      </w:r>
      <w:proofErr w:type="spellStart"/>
      <w:r>
        <w:t>gryzerem</w:t>
      </w:r>
      <w:proofErr w:type="spellEnd"/>
      <w:r>
        <w:t xml:space="preserve"> Ø </w:t>
      </w:r>
      <w:smartTag w:uri="urn:schemas-microsoft-com:office:smarttags" w:element="metricconverter">
        <w:smartTagPr>
          <w:attr w:name="ProductID" w:val="311 mm"/>
        </w:smartTagPr>
        <w:r>
          <w:t>311 mm</w:t>
        </w:r>
      </w:smartTag>
      <w:r>
        <w:t xml:space="preserve"> na płuczkę wodną. Po zakończeniu wiercenia  konduktor ø </w:t>
      </w:r>
      <w:smartTag w:uri="urn:schemas-microsoft-com:office:smarttags" w:element="metricconverter">
        <w:smartTagPr>
          <w:attr w:name="ProductID" w:val="24”"/>
        </w:smartTagPr>
        <w:r>
          <w:t>24”</w:t>
        </w:r>
      </w:smartTag>
      <w:r>
        <w:t xml:space="preserve"> usunąć z otworu. Przestrzeń pomiędzy rurami obsadowymi a ścianą otworu do głębokości około </w:t>
      </w:r>
      <w:smartTag w:uri="urn:schemas-microsoft-com:office:smarttags" w:element="metricconverter">
        <w:smartTagPr>
          <w:attr w:name="ProductID" w:val="5,0 m"/>
        </w:smartTagPr>
        <w:r>
          <w:t>5,0 m</w:t>
        </w:r>
      </w:smartTag>
      <w:r>
        <w:t xml:space="preserve"> uszczelnić urobkiem piaszczystym a powyżej do powierzchni terenu </w:t>
      </w:r>
      <w:proofErr w:type="spellStart"/>
      <w:r>
        <w:t>kompaktonitem</w:t>
      </w:r>
      <w:proofErr w:type="spellEnd"/>
      <w:r>
        <w:t xml:space="preserve">. </w:t>
      </w:r>
    </w:p>
    <w:p w:rsidR="00965003" w:rsidRPr="00C05A1F" w:rsidRDefault="00965003" w:rsidP="00C05A1F">
      <w:pPr>
        <w:pStyle w:val="Tekstpodstawowywcity2"/>
        <w:suppressAutoHyphens/>
        <w:jc w:val="both"/>
        <w:rPr>
          <w:rFonts w:cs="Arial"/>
        </w:rPr>
      </w:pPr>
      <w:r>
        <w:rPr>
          <w:rFonts w:cs="Arial"/>
        </w:rPr>
        <w:t>Projekt geologiczno-techniczny otworu przedstawiono na załączniku 9.</w:t>
      </w:r>
      <w:r>
        <w:rPr>
          <w:rFonts w:ascii="Times New Roman" w:eastAsia="Times New Roman" w:hAnsi="Times New Roman"/>
          <w:lang w:eastAsia="pl-PL"/>
        </w:rPr>
        <w:tab/>
      </w:r>
    </w:p>
    <w:p w:rsidR="00965003" w:rsidRDefault="00965003" w:rsidP="00F41833">
      <w:pPr>
        <w:jc w:val="both"/>
        <w:rPr>
          <w:b/>
        </w:rPr>
      </w:pPr>
      <w:r>
        <w:rPr>
          <w:b/>
        </w:rPr>
        <w:t xml:space="preserve"> Badania hydrogeologiczne</w:t>
      </w:r>
    </w:p>
    <w:p w:rsidR="00965003" w:rsidRDefault="00965003" w:rsidP="00F41833">
      <w:pPr>
        <w:jc w:val="both"/>
      </w:pPr>
    </w:p>
    <w:p w:rsidR="00965003" w:rsidRDefault="00965003" w:rsidP="00F41833">
      <w:pPr>
        <w:pStyle w:val="Tekstpodstawowywcity2"/>
        <w:spacing w:line="276" w:lineRule="auto"/>
        <w:jc w:val="both"/>
      </w:pPr>
      <w:r>
        <w:tab/>
        <w:t xml:space="preserve">Bezpośrednio po </w:t>
      </w:r>
      <w:proofErr w:type="spellStart"/>
      <w:r>
        <w:t>zafiltrowaniu</w:t>
      </w:r>
      <w:proofErr w:type="spellEnd"/>
      <w:r>
        <w:t xml:space="preserve"> otworu należy wykonać pompowanie oczyszczające ze stopniowo zwiększaną wydajnością do maksymalnej możliwej do uzyskania w danych warunkach technicznych i prowadzić je do całkowitego oczyszczenia wody z zawiesin </w:t>
      </w:r>
      <w:r>
        <w:br/>
        <w:t>i uzyskania klarownej wody. Przewidywany czas pompowania oczyszczającego - 24 h.</w:t>
      </w:r>
    </w:p>
    <w:p w:rsidR="00965003" w:rsidRDefault="00965003" w:rsidP="00F41833">
      <w:pPr>
        <w:pStyle w:val="Tekstpodstawowywcity2"/>
        <w:spacing w:line="276" w:lineRule="auto"/>
        <w:jc w:val="both"/>
      </w:pPr>
      <w:r>
        <w:t xml:space="preserve">Po zakończeniu pompowania oczyszczającego należy otwór odkazić podchlorynem sodu i przeprowadzić stabilizację zwierciadła w czasie minimum 24 h.  </w:t>
      </w:r>
    </w:p>
    <w:p w:rsidR="00965003" w:rsidRDefault="00965003" w:rsidP="00F41833">
      <w:pPr>
        <w:pStyle w:val="Tekstpodstawowywcity2"/>
        <w:spacing w:line="240" w:lineRule="auto"/>
        <w:jc w:val="both"/>
      </w:pPr>
      <w:r>
        <w:t xml:space="preserve">Pod koniec pompowania należy pobrać próbę wody do analizy fizykochemicznej </w:t>
      </w:r>
      <w:r>
        <w:br/>
        <w:t xml:space="preserve">w zakresie: mętność, zapach, barwa, odczyn </w:t>
      </w:r>
      <w:proofErr w:type="spellStart"/>
      <w:r>
        <w:t>pH</w:t>
      </w:r>
      <w:proofErr w:type="spellEnd"/>
      <w:r>
        <w:t xml:space="preserve">, twardość ogólna, zasadowość ogólna, żelazo ogólne, mangan, wapń, magnez, chlorki, siarczany, fluorki, fosforany, azotyny, azotany, jon amonowy, sód, potas, glin, wodorowęglany, sucha pozostałość. oraz próbę wody do badań bakteriologicznych. </w:t>
      </w:r>
    </w:p>
    <w:p w:rsidR="00965003" w:rsidRDefault="00965003" w:rsidP="00F41833">
      <w:pPr>
        <w:pStyle w:val="Tekstpodstawowywcity2"/>
        <w:spacing w:line="240" w:lineRule="auto"/>
        <w:jc w:val="both"/>
      </w:pPr>
      <w:r>
        <w:t>Po zakończeniu pompowania pomiarowego przeprowadzić stabilizację zwierciadła wody w czasie niezbędnym do osiągnięcia poziomu statycznego.</w:t>
      </w:r>
    </w:p>
    <w:p w:rsidR="00965003" w:rsidRPr="00C7636A" w:rsidRDefault="00965003" w:rsidP="00F41833">
      <w:pPr>
        <w:pStyle w:val="Tekstpodstawowy"/>
        <w:tabs>
          <w:tab w:val="left" w:pos="855"/>
          <w:tab w:val="left" w:pos="1711"/>
          <w:tab w:val="left" w:pos="2565"/>
          <w:tab w:val="left" w:pos="3420"/>
          <w:tab w:val="left" w:pos="4277"/>
          <w:tab w:val="left" w:pos="5140"/>
          <w:tab w:val="left" w:pos="5988"/>
          <w:tab w:val="left" w:pos="6843"/>
          <w:tab w:val="left" w:pos="7698"/>
          <w:tab w:val="left" w:pos="8546"/>
        </w:tabs>
        <w:ind w:left="284" w:hanging="284"/>
      </w:pPr>
      <w:r w:rsidRPr="00C7636A">
        <w:tab/>
        <w:t xml:space="preserve">Wodę z pompowania próbnego należy odprowadzać do rowu melioracyjnego na odległość ca </w:t>
      </w:r>
      <w:smartTag w:uri="urn:schemas-microsoft-com:office:smarttags" w:element="metricconverter">
        <w:smartTagPr>
          <w:attr w:name="ProductID" w:val="150 m"/>
        </w:smartTagPr>
        <w:r w:rsidRPr="00C7636A">
          <w:t>150 m</w:t>
        </w:r>
      </w:smartTag>
      <w:r w:rsidRPr="00C7636A">
        <w:t xml:space="preserve">. Powyższy fakt należy zgłosić do Polskich Wód występując ze stosowym zgłoszeniem. </w:t>
      </w:r>
    </w:p>
    <w:p w:rsidR="00F41833" w:rsidRDefault="00965003" w:rsidP="00F41833">
      <w:pPr>
        <w:pStyle w:val="Tekstpodstawowywcity2"/>
        <w:suppressAutoHyphens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Zasilanie agregatu pompowego odbywać się będzie z sieci energetycznej ujęcia wiejskiego w Czyżeminku.  </w:t>
      </w:r>
    </w:p>
    <w:p w:rsidR="00965003" w:rsidRPr="00F41833" w:rsidRDefault="00965003" w:rsidP="00C05A1F">
      <w:pPr>
        <w:pStyle w:val="Tekstpodstawowywcity2"/>
        <w:suppressAutoHyphens/>
        <w:spacing w:line="276" w:lineRule="auto"/>
        <w:ind w:hanging="283"/>
        <w:jc w:val="both"/>
        <w:rPr>
          <w:rFonts w:cs="Arial"/>
        </w:rPr>
      </w:pPr>
      <w:r>
        <w:rPr>
          <w:b/>
        </w:rPr>
        <w:t xml:space="preserve"> Prace geodezyjne</w:t>
      </w:r>
    </w:p>
    <w:p w:rsidR="00965003" w:rsidRDefault="00965003" w:rsidP="00F41833">
      <w:pPr>
        <w:pStyle w:val="Tekstpodstawowywcity2"/>
        <w:spacing w:line="276" w:lineRule="auto"/>
        <w:jc w:val="both"/>
      </w:pPr>
      <w:r>
        <w:t xml:space="preserve">Prace geodezyjne wykonane zostaną w oparciu o mapę do celów projektowych w skali 1 : 500. Otwór wiertniczy zostanie  wyznaczony w terenie metodą domiarów prostokątnych </w:t>
      </w:r>
      <w:r>
        <w:br/>
        <w:t>w odniesieniu do istniejących szczegółów topograficznych, a</w:t>
      </w:r>
      <w:r w:rsidR="00C05A1F">
        <w:t xml:space="preserve"> następnie zostanie namierzony </w:t>
      </w:r>
      <w:r>
        <w:t xml:space="preserve">i </w:t>
      </w:r>
      <w:proofErr w:type="spellStart"/>
      <w:r>
        <w:t>zaniwelowany</w:t>
      </w:r>
      <w:proofErr w:type="spellEnd"/>
      <w:r>
        <w:t xml:space="preserve"> w odniesieniu do państwowych punktów osnowy geodezyjnej.</w:t>
      </w:r>
    </w:p>
    <w:p w:rsidR="00965003" w:rsidRDefault="00965003" w:rsidP="00F41833">
      <w:pPr>
        <w:pStyle w:val="Tekstpodstawowywcity2"/>
        <w:jc w:val="both"/>
      </w:pPr>
      <w:r>
        <w:lastRenderedPageBreak/>
        <w:t xml:space="preserve">Z przeprowadzonych prac należy sporządzić szkic geodezyjny. </w:t>
      </w:r>
    </w:p>
    <w:p w:rsidR="00965003" w:rsidRDefault="00965003" w:rsidP="00F41833">
      <w:pPr>
        <w:pStyle w:val="Tekstpodstawowywcity2"/>
        <w:spacing w:line="240" w:lineRule="auto"/>
        <w:jc w:val="both"/>
      </w:pPr>
    </w:p>
    <w:p w:rsidR="00965003" w:rsidRPr="00C05A1F" w:rsidRDefault="00965003" w:rsidP="00C05A1F">
      <w:pPr>
        <w:pStyle w:val="Tekstpodstawowywcity2"/>
        <w:spacing w:line="240" w:lineRule="auto"/>
        <w:ind w:left="0"/>
        <w:jc w:val="both"/>
        <w:rPr>
          <w:b/>
        </w:rPr>
      </w:pPr>
      <w:r>
        <w:rPr>
          <w:b/>
        </w:rPr>
        <w:t>Prace dokumentacyjne</w:t>
      </w:r>
    </w:p>
    <w:p w:rsidR="00965003" w:rsidRPr="00C05A1F" w:rsidRDefault="00965003" w:rsidP="00F41833">
      <w:pPr>
        <w:pStyle w:val="Tekstpodstawowy"/>
        <w:rPr>
          <w:b w:val="0"/>
        </w:rPr>
      </w:pPr>
      <w:r w:rsidRPr="00C05A1F">
        <w:rPr>
          <w:b w:val="0"/>
        </w:rPr>
        <w:t xml:space="preserve">Po zakończeniu wiercenia i wszystkich robót geologicznych </w:t>
      </w:r>
      <w:r w:rsidR="00C05A1F">
        <w:rPr>
          <w:b w:val="0"/>
        </w:rPr>
        <w:t>należy opracować</w:t>
      </w:r>
      <w:r w:rsidRPr="00C05A1F">
        <w:rPr>
          <w:b w:val="0"/>
        </w:rPr>
        <w:t xml:space="preserve"> dokumentacj</w:t>
      </w:r>
      <w:r w:rsidR="00C05A1F">
        <w:rPr>
          <w:b w:val="0"/>
        </w:rPr>
        <w:t>ę hydrogeologiczną</w:t>
      </w:r>
      <w:r w:rsidRPr="00C05A1F">
        <w:rPr>
          <w:b w:val="0"/>
        </w:rPr>
        <w:t xml:space="preserve"> zgodnie z Ustawą z dnia 9 czerwca 2011 r. Prawo geologiczne i górnicze (tekst jednolity Dz. U. 2020 r., poz. 1064), która będzie spełniać wymogi Rozporządzenia Ministra Środowiska z dnia 18 listopada 2016 r. w sprawie dokumentacji hydrogeologicznej i dokumentacji geologiczno-inżynierskiej (Dz. U. 2016 poz. 2033) jako dokumentacja hydrogeologiczna ustalająca zasoby eksploatacyjne ujęcia wód podziemnych.</w:t>
      </w:r>
    </w:p>
    <w:p w:rsidR="00965003" w:rsidRPr="00C05A1F" w:rsidRDefault="00965003" w:rsidP="00F41833">
      <w:pPr>
        <w:pStyle w:val="Tekstpodstawowy"/>
        <w:rPr>
          <w:b w:val="0"/>
        </w:rPr>
      </w:pPr>
      <w:r w:rsidRPr="00C05A1F">
        <w:rPr>
          <w:b w:val="0"/>
        </w:rPr>
        <w:t xml:space="preserve">Natomiast w przypadku wykonania prac geologicznych niekończących się udokumentowaniem zasobów wód podziemnych, wyniki tych prac zostaną opracowane w formie innej dokumentacji geologicznej, zgodnie z Rozporządzeniem Ministra Środowiska z dnia 6 grudnia 2016 r. w sprawie innych dokumentacji geologicznych (Dz. U. 2016 poz. 2023). </w:t>
      </w:r>
    </w:p>
    <w:p w:rsidR="00965003" w:rsidRDefault="00965003" w:rsidP="00F41833">
      <w:pPr>
        <w:pStyle w:val="Tekstpodstawowywcity2"/>
        <w:tabs>
          <w:tab w:val="left" w:pos="540"/>
        </w:tabs>
        <w:spacing w:line="240" w:lineRule="auto"/>
        <w:jc w:val="both"/>
      </w:pPr>
    </w:p>
    <w:p w:rsidR="00965003" w:rsidRDefault="00965003" w:rsidP="00F41833">
      <w:pPr>
        <w:jc w:val="both"/>
      </w:pPr>
    </w:p>
    <w:sectPr w:rsidR="00965003" w:rsidSect="003D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5003"/>
    <w:rsid w:val="003D4690"/>
    <w:rsid w:val="00442827"/>
    <w:rsid w:val="007D3C49"/>
    <w:rsid w:val="008D3422"/>
    <w:rsid w:val="00965003"/>
    <w:rsid w:val="009F276E"/>
    <w:rsid w:val="00C05A1F"/>
    <w:rsid w:val="00F4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0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65003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003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965003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650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500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003"/>
    <w:rPr>
      <w:sz w:val="24"/>
      <w:szCs w:val="24"/>
    </w:rPr>
  </w:style>
  <w:style w:type="paragraph" w:customStyle="1" w:styleId="WW-BodyText21">
    <w:name w:val="WW-Body Text 21"/>
    <w:basedOn w:val="Normalny"/>
    <w:rsid w:val="00965003"/>
    <w:pPr>
      <w:suppressAutoHyphens/>
      <w:overflowPunct w:val="0"/>
      <w:autoSpaceDE w:val="0"/>
      <w:spacing w:line="240" w:lineRule="atLeast"/>
      <w:jc w:val="both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34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34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4</cp:revision>
  <dcterms:created xsi:type="dcterms:W3CDTF">2020-10-06T13:08:00Z</dcterms:created>
  <dcterms:modified xsi:type="dcterms:W3CDTF">2020-10-26T10:17:00Z</dcterms:modified>
</cp:coreProperties>
</file>